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0" w:firstLineChars="0"/>
        <w:jc w:val="center"/>
        <w:textAlignment w:val="auto"/>
        <w:outlineLvl w:val="0"/>
        <w:rPr>
          <w:rFonts w:hint="eastAsia" w:ascii="方正小标宋_GBK" w:hAnsi="方正小标宋_GBK" w:eastAsia="方正小标宋_GBK" w:cs="方正小标宋_GBK"/>
          <w:color w:val="auto"/>
          <w:sz w:val="44"/>
          <w:szCs w:val="44"/>
          <w:highlight w:val="none"/>
          <w:shd w:val="clear" w:color="auto" w:fill="auto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color w:val="auto"/>
          <w:sz w:val="44"/>
          <w:szCs w:val="44"/>
          <w:highlight w:val="none"/>
          <w:shd w:val="clear" w:color="auto" w:fill="auto"/>
          <w:lang w:eastAsia="zh-CN"/>
        </w:rPr>
        <w:t>《</w:t>
      </w:r>
      <w:r>
        <w:rPr>
          <w:rFonts w:hint="eastAsia" w:ascii="方正小标宋_GBK" w:hAnsi="方正小标宋_GBK" w:eastAsia="方正小标宋_GBK" w:cs="方正小标宋_GBK"/>
          <w:color w:val="auto"/>
          <w:sz w:val="44"/>
          <w:szCs w:val="44"/>
          <w:highlight w:val="none"/>
          <w:shd w:val="clear" w:color="auto" w:fill="auto"/>
        </w:rPr>
        <w:t>江苏省审计</w:t>
      </w:r>
      <w:r>
        <w:rPr>
          <w:rFonts w:hint="eastAsia" w:ascii="方正小标宋_GBK" w:hAnsi="方正小标宋_GBK" w:eastAsia="方正小标宋_GBK" w:cs="方正小标宋_GBK"/>
          <w:color w:val="auto"/>
          <w:sz w:val="44"/>
          <w:szCs w:val="44"/>
          <w:highlight w:val="none"/>
          <w:shd w:val="clear" w:color="auto" w:fill="auto"/>
          <w:lang w:val="en-US" w:eastAsia="zh-CN"/>
        </w:rPr>
        <w:t>机关</w:t>
      </w:r>
      <w:r>
        <w:rPr>
          <w:rFonts w:hint="eastAsia" w:ascii="方正小标宋_GBK" w:hAnsi="方正小标宋_GBK" w:eastAsia="方正小标宋_GBK" w:cs="方正小标宋_GBK"/>
          <w:color w:val="auto"/>
          <w:sz w:val="44"/>
          <w:szCs w:val="44"/>
          <w:highlight w:val="none"/>
          <w:shd w:val="clear" w:color="auto" w:fill="auto"/>
        </w:rPr>
        <w:t>行政处罚裁量</w:t>
      </w:r>
      <w:r>
        <w:rPr>
          <w:rFonts w:hint="eastAsia" w:ascii="方正小标宋_GBK" w:hAnsi="方正小标宋_GBK" w:eastAsia="方正小标宋_GBK" w:cs="方正小标宋_GBK"/>
          <w:color w:val="auto"/>
          <w:sz w:val="44"/>
          <w:szCs w:val="44"/>
          <w:highlight w:val="none"/>
          <w:shd w:val="clear" w:color="auto" w:fill="auto"/>
          <w:lang w:val="en-US" w:eastAsia="zh-CN"/>
        </w:rPr>
        <w:t>权基准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0" w:firstLineChars="0"/>
        <w:jc w:val="center"/>
        <w:textAlignment w:val="auto"/>
        <w:outlineLvl w:val="0"/>
        <w:rPr>
          <w:rFonts w:hint="eastAsia" w:ascii="方正小标宋_GBK" w:hAnsi="方正小标宋_GBK" w:eastAsia="方正小标宋_GBK" w:cs="方正小标宋_GBK"/>
          <w:color w:val="auto"/>
          <w:sz w:val="44"/>
          <w:szCs w:val="44"/>
          <w:highlight w:val="none"/>
          <w:shd w:val="clear" w:color="auto" w:fill="auto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color w:val="auto"/>
          <w:sz w:val="44"/>
          <w:szCs w:val="44"/>
          <w:highlight w:val="none"/>
          <w:shd w:val="clear" w:color="auto" w:fill="auto"/>
        </w:rPr>
        <w:t>适用</w:t>
      </w:r>
      <w:r>
        <w:rPr>
          <w:rFonts w:hint="eastAsia" w:ascii="方正小标宋_GBK" w:hAnsi="方正小标宋_GBK" w:eastAsia="方正小标宋_GBK" w:cs="方正小标宋_GBK"/>
          <w:color w:val="auto"/>
          <w:sz w:val="44"/>
          <w:szCs w:val="44"/>
          <w:highlight w:val="none"/>
          <w:shd w:val="clear" w:color="auto" w:fill="auto"/>
          <w:lang w:val="en-US" w:eastAsia="zh-CN"/>
        </w:rPr>
        <w:t>办法</w:t>
      </w:r>
      <w:r>
        <w:rPr>
          <w:rFonts w:hint="eastAsia" w:ascii="方正小标宋_GBK" w:hAnsi="方正小标宋_GBK" w:eastAsia="方正小标宋_GBK" w:cs="方正小标宋_GBK"/>
          <w:color w:val="auto"/>
          <w:sz w:val="44"/>
          <w:szCs w:val="44"/>
          <w:highlight w:val="none"/>
          <w:shd w:val="clear" w:color="auto" w:fill="auto"/>
          <w:lang w:eastAsia="zh-CN"/>
        </w:rPr>
        <w:t>》</w:t>
      </w:r>
      <w:r>
        <w:rPr>
          <w:rFonts w:hint="eastAsia" w:ascii="方正小标宋_GBK" w:hAnsi="方正小标宋_GBK" w:eastAsia="方正小标宋_GBK" w:cs="方正小标宋_GBK"/>
          <w:color w:val="auto"/>
          <w:sz w:val="44"/>
          <w:szCs w:val="44"/>
          <w:highlight w:val="none"/>
          <w:shd w:val="clear" w:color="auto" w:fill="auto"/>
          <w:lang w:val="en-US" w:eastAsia="zh-CN"/>
        </w:rPr>
        <w:t>政策解读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highlight w:val="none"/>
          <w:shd w:val="clear" w:color="auto" w:fill="auto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highlight w:val="none"/>
          <w:shd w:val="clear" w:color="auto" w:fill="auto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highlight w:val="none"/>
          <w:shd w:val="clear" w:color="auto" w:fill="auto"/>
          <w:lang w:val="en-US" w:eastAsia="zh-CN"/>
        </w:rPr>
        <w:t>为进一步规范全省审计机关行政处罚裁量权，保护当事人合法权益，江苏省审计厅印发了《江苏省审计机关行政处罚裁量权基准适用办法》以及配套的《江苏省审计机关行政处罚裁量基准》（以下简称《适用办法》《裁量基准》），将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highlight w:val="none"/>
          <w:shd w:val="clear" w:color="auto" w:fill="auto"/>
          <w:lang w:val="en-US" w:eastAsia="zh-CN"/>
        </w:rPr>
        <w:t>于2024年1月1日起正式施行。为便于各有关部门、单位更好地理解适用文件的相关内容，切实做好贯彻实施工作，现就《适用办法》《裁量基准》出台背景及主要内容解读如下：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color w:val="auto"/>
          <w:sz w:val="32"/>
          <w:szCs w:val="32"/>
          <w:highlight w:val="none"/>
          <w:shd w:val="clear" w:color="auto" w:fill="auto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color w:val="auto"/>
          <w:sz w:val="32"/>
          <w:szCs w:val="32"/>
          <w:highlight w:val="none"/>
          <w:shd w:val="clear" w:color="auto" w:fill="auto"/>
          <w:lang w:val="en-US" w:eastAsia="zh-CN"/>
        </w:rPr>
        <w:t>一、出台背景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firstLine="640" w:firstLineChars="200"/>
        <w:jc w:val="both"/>
        <w:textAlignment w:val="auto"/>
        <w:rPr>
          <w:rFonts w:hint="default" w:ascii="仿宋_GB2312" w:hAnsi="仿宋_GB2312" w:eastAsia="仿宋_GB2312" w:cs="仿宋_GB2312"/>
          <w:b w:val="0"/>
          <w:bCs/>
          <w:color w:val="auto"/>
          <w:sz w:val="32"/>
          <w:szCs w:val="32"/>
          <w:highlight w:val="none"/>
          <w:shd w:val="clear" w:color="auto" w:fill="auto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highlight w:val="none"/>
          <w:shd w:val="clear" w:color="auto" w:fill="auto"/>
          <w:lang w:val="en-US" w:eastAsia="zh-CN"/>
        </w:rPr>
        <w:t>行政处罚裁量权基准是行政机关结合行政处罚工作实际，按照裁量涉及的不同事实和情节，对法律、法规、规章中的原则性规定或者具有一定弹性的处罚种类、幅度等内容进行细化量化，以特定形式向社会公布并施行的具体执法尺度和标准。规范行政处罚裁量基准制定，对保障法律、法规、规章有效实施，规范审计执法行为，维护社会公平正义具有重要意义。去年7月份以来，国务院办公厅、省政府办公厅先后发文，要求各地各部门统筹推进行政裁量权基准制定和管理工作，进一步规范行政执法行为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color w:val="auto"/>
          <w:sz w:val="32"/>
          <w:szCs w:val="32"/>
          <w:highlight w:val="none"/>
          <w:shd w:val="clear" w:color="auto" w:fill="auto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color w:val="auto"/>
          <w:sz w:val="32"/>
          <w:szCs w:val="32"/>
          <w:highlight w:val="none"/>
          <w:shd w:val="clear" w:color="auto" w:fill="auto"/>
          <w:lang w:val="en-US" w:eastAsia="zh-CN"/>
        </w:rPr>
        <w:t>二、起草过程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firstLine="640"/>
        <w:jc w:val="both"/>
        <w:textAlignment w:val="auto"/>
        <w:outlineLvl w:val="0"/>
        <w:rPr>
          <w:rFonts w:hint="eastAsia" w:ascii="黑体" w:hAnsi="黑体" w:eastAsia="黑体" w:cs="黑体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highlight w:val="none"/>
          <w:shd w:val="clear" w:color="auto" w:fill="auto"/>
          <w:lang w:val="en-US" w:eastAsia="zh-CN"/>
        </w:rPr>
        <w:t>江苏省审计厅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对《中华人民共和国审计法》《中华人民共和国审计法实施条例》《财政违法行为处罚处分条例》《江苏省审计条例》等法律法规涉及审计行政处罚工作的条款进行了全面梳理。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highlight w:val="none"/>
          <w:shd w:val="clear" w:color="auto" w:fill="auto"/>
          <w:lang w:val="en-US" w:eastAsia="zh-CN"/>
        </w:rPr>
        <w:t>在此基础上，以原有裁量基准制度为基础，吸收新修订行政处罚法最新要求，同时借鉴其他部门制定的相关制度，形成《适用办法》及其附件《裁量基准》初稿。先后向全省13个设区市局、厅内各业务部门以及社会公众征求意见，在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highlight w:val="none"/>
          <w:shd w:val="clear" w:color="auto" w:fill="auto"/>
          <w:lang w:val="en-US" w:eastAsia="zh-Hans"/>
        </w:rPr>
        <w:t>充分吸收和采纳合理意见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highlight w:val="none"/>
          <w:shd w:val="clear" w:color="auto" w:fill="auto"/>
          <w:lang w:val="en-US" w:eastAsia="zh-CN"/>
        </w:rPr>
        <w:t>后，</w:t>
      </w: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组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highlight w:val="none"/>
          <w:shd w:val="clear" w:color="auto" w:fill="auto"/>
          <w:lang w:val="en-US" w:eastAsia="zh-CN"/>
        </w:rPr>
        <w:t>织专家论证和合法性审核，经厅党组会审议通过后予以公布。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color w:val="auto"/>
          <w:sz w:val="32"/>
          <w:szCs w:val="32"/>
          <w:highlight w:val="none"/>
          <w:shd w:val="clear" w:color="auto" w:fill="auto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color w:val="auto"/>
          <w:sz w:val="32"/>
          <w:szCs w:val="32"/>
          <w:highlight w:val="none"/>
          <w:shd w:val="clear" w:color="auto" w:fill="auto"/>
          <w:lang w:val="en-US" w:eastAsia="zh-CN"/>
        </w:rPr>
        <w:t>三、主要内容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outlineLvl w:val="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《适用办法》共十五条，配套的《裁量基准》共六条。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outlineLvl w:val="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一是明确审计机关行政处罚裁量权定义，以及行使行政处罚裁量权需要遵循合法、公正公开、过罚相当、处罚与教育相结合原则。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outlineLvl w:val="0"/>
        <w:rPr>
          <w:rFonts w:hint="eastAsia" w:ascii="仿宋_GB2312" w:eastAsia="仿宋_GB2312" w:cs="宋体"/>
          <w:bCs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二是根据</w:t>
      </w:r>
      <w:r>
        <w:rPr>
          <w:rFonts w:hint="eastAsia" w:ascii="仿宋_GB2312" w:eastAsia="仿宋_GB2312" w:cs="宋体"/>
          <w:bCs/>
          <w:kern w:val="0"/>
          <w:sz w:val="32"/>
          <w:szCs w:val="32"/>
          <w:lang w:val="en-US" w:eastAsia="zh-CN"/>
        </w:rPr>
        <w:t>被审计单位和有关责任人员违法行为的事实、性质、情节、社会危害程度和我省经济社会发展状况，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确定轻微、一般、严重的裁量阶次，明确不予处罚、从轻、减轻等处罚情形，</w:t>
      </w:r>
      <w:r>
        <w:rPr>
          <w:rFonts w:hint="eastAsia" w:ascii="仿宋_GB2312" w:eastAsia="仿宋_GB2312" w:cs="宋体"/>
          <w:bCs/>
          <w:kern w:val="0"/>
          <w:sz w:val="32"/>
          <w:szCs w:val="32"/>
          <w:lang w:val="en-US" w:eastAsia="zh-CN"/>
        </w:rPr>
        <w:t>防止过罚不相适应、重责轻罚、轻责重罚。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outlineLvl w:val="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三是明确审计机关及审计人员要充分保障当事人依法享有的陈述、申辩、要求听证等权利。审计行政处罚决定作出前应经过法制机构进行合法性审核，并由两名以上审计机关负责人参加的审计业务会议集体讨论决定，进一步规范行政处罚程序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firstLine="640" w:firstLineChars="200"/>
        <w:jc w:val="both"/>
        <w:textAlignment w:val="auto"/>
        <w:rPr>
          <w:rFonts w:hint="default" w:ascii="仿宋_GB2312" w:hAnsi="仿宋_GB2312" w:eastAsia="仿宋_GB2312" w:cs="仿宋_GB2312"/>
          <w:b w:val="0"/>
          <w:bCs/>
          <w:color w:val="auto"/>
          <w:sz w:val="32"/>
          <w:szCs w:val="32"/>
          <w:highlight w:val="none"/>
          <w:shd w:val="clear" w:color="auto" w:fill="auto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仿宋_GB2312">
    <w:altName w:val="仿宋"/>
    <w:panose1 w:val="02000000000000000000"/>
    <w:charset w:val="86"/>
    <w:family w:val="auto"/>
    <w:pitch w:val="default"/>
    <w:sig w:usb0="00000000" w:usb1="00000000" w:usb2="00000000" w:usb3="00000000" w:csb0="0006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742486A"/>
    <w:rsid w:val="026E6402"/>
    <w:rsid w:val="12CD436B"/>
    <w:rsid w:val="175B0B75"/>
    <w:rsid w:val="3E870771"/>
    <w:rsid w:val="5742486A"/>
    <w:rsid w:val="5A394755"/>
    <w:rsid w:val="718918C1"/>
    <w:rsid w:val="7CD41D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itle"/>
    <w:basedOn w:val="1"/>
    <w:qFormat/>
    <w:uiPriority w:val="0"/>
    <w:pPr>
      <w:spacing w:before="240" w:after="60"/>
      <w:jc w:val="center"/>
      <w:outlineLvl w:val="0"/>
    </w:pPr>
    <w:rPr>
      <w:rFonts w:ascii="Arial" w:hAnsi="Arial"/>
      <w:b/>
    </w:rPr>
  </w:style>
  <w:style w:type="character" w:styleId="5">
    <w:name w:val="Strong"/>
    <w:basedOn w:val="4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Office_11.8.2.9086_F1E327BC-269C-435d-A152-05C5408002CA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2023-11-26T11:43:00Z</dcterms:created>
  <dc:creator>朱正楠</dc:creator>
  <cp:lastModifiedBy>朱正楠</cp:lastModifiedBy>
  <cp:lastPrinted>2023-11-30T09:31:20Z</cp:lastPrinted>
  <dcterms:modified xsi:type="dcterms:W3CDTF">2023-11-30T09:31:41Z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2052-11.8.2.9086</vt:lpwstr>
  </property>
</Properties>
</file>